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1348" w14:textId="48BDEF9B" w:rsidR="00053BDE" w:rsidRPr="00060B9E" w:rsidRDefault="008073B3" w:rsidP="008073B3">
      <w:pPr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</w:pPr>
      <w:r w:rsidRPr="00060B9E"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  <w:t>Obrazloženje općeg dijela izvještaja o izvršenju financijskog plana</w:t>
      </w:r>
    </w:p>
    <w:p w14:paraId="12FE230C" w14:textId="31E2E749" w:rsidR="00663266" w:rsidRDefault="00663266" w:rsidP="004B3BA4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663266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 izvještajnom razdoblju ostvareni su </w:t>
      </w:r>
      <w:r w:rsidR="004B3BA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ukupni </w:t>
      </w:r>
      <w:r w:rsidRPr="00663266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prihodi u iznosu od 1.791.203,16 eura</w:t>
      </w:r>
      <w:r w:rsidR="0099114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dok su za isto razdoblje prethodne godine iznosili 257.201,29 eura. N</w:t>
      </w:r>
      <w:r w:rsidRPr="00663266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ajvećim dijelom ih čine prihodi od pomoći od međunarodnih organizacija te institucija i tijela EU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koji su ostvareni u iznosu od 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987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598,04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</w:t>
      </w:r>
      <w:r w:rsidRPr="00663266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i prihodi iz proračuna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u iznosi od 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747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798,12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</w:t>
      </w:r>
      <w:r w:rsidR="004B3BA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</w:p>
    <w:p w14:paraId="0B71C888" w14:textId="3BD46539" w:rsidR="004B3BA4" w:rsidRPr="004B3BA4" w:rsidRDefault="004B3BA4" w:rsidP="005576CE">
      <w:pPr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hr-HR"/>
          <w14:ligatures w14:val="none"/>
        </w:rPr>
      </w:pP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Prihodi od naknade za koncesije iznose </w:t>
      </w:r>
      <w:r w:rsidRPr="004B3BA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18.290,30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eura, 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p</w:t>
      </w:r>
      <w:r w:rsidR="005576CE" w:rsidRP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rihodi od upravnih i administrativnih pristojbi, pristojbi po posebnim propisima i naknada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iznose </w:t>
      </w:r>
      <w:r w:rsidR="005576CE" w:rsidRP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29.521,82 eura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dok p</w:t>
      </w:r>
      <w:r w:rsidR="005576CE" w:rsidRP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rihodi od pruženih usluga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iznose </w:t>
      </w:r>
      <w:r w:rsidR="005576CE" w:rsidRP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7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.</w:t>
      </w:r>
      <w:r w:rsidR="005576CE" w:rsidRP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>994,88</w:t>
      </w:r>
      <w:r w:rsidR="005576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r-HR"/>
          <w14:ligatures w14:val="none"/>
        </w:rPr>
        <w:t xml:space="preserve"> eura.</w:t>
      </w:r>
    </w:p>
    <w:p w14:paraId="572ADA2A" w14:textId="164C7F41" w:rsidR="00663266" w:rsidRDefault="00991144" w:rsidP="00060B9E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Ukupni prihodi veći su u odnosu na isto razdoblje prethodne godine zbog početka radova u okviru projekta Izgradnja terminala za pretovar rasutih tereta u luci Osijek koji se financira iz Kohezijskog fonda i državnog proračuna.</w:t>
      </w:r>
    </w:p>
    <w:p w14:paraId="5E7D70BC" w14:textId="0D5AC606" w:rsidR="00F5369A" w:rsidRDefault="00F5369A" w:rsidP="00F5369A">
      <w:pP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</w:rPr>
        <w:drawing>
          <wp:inline distT="0" distB="0" distL="0" distR="0" wp14:anchorId="56945584" wp14:editId="2002D19C">
            <wp:extent cx="5791200" cy="5638800"/>
            <wp:effectExtent l="0" t="0" r="0" b="0"/>
            <wp:docPr id="633428111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FF2162D" w14:textId="77777777" w:rsidR="00F5369A" w:rsidRDefault="00F5369A" w:rsidP="00F5369A">
      <w:pP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21C0505F" w14:textId="48CB2569" w:rsidR="00F5369A" w:rsidRDefault="004B3BA4" w:rsidP="004B3BA4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lastRenderedPageBreak/>
        <w:t>Ukupni r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ashodi u izvještajnom razdoblju iznose 1.778.330,49 eura</w:t>
      </w:r>
      <w:r w:rsidR="0099114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dok su za isto razdoblje prethodne godine iznosili 185.834,93 eur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</w:t>
      </w:r>
      <w:r w:rsidR="0099114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</w:t>
      </w:r>
      <w:r w:rsidR="0099114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N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ajvećim dijelom se odnose na r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ashod</w:t>
      </w:r>
      <w:r w:rsid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e</w:t>
      </w:r>
      <w:r w:rsidR="00F5369A" w:rsidRPr="00F5369A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za nabavu proizvedene dugotrajne imovine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u iznosu od </w:t>
      </w:r>
      <w:r w:rsidRPr="004B3BA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1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Pr="004B3BA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518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Pr="004B3BA4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532,07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 čime se pokrivaju rashodi kapitalnih investicija Lučke uprave Osijek.</w:t>
      </w:r>
    </w:p>
    <w:p w14:paraId="3E746747" w14:textId="7BE65E42" w:rsidR="005576CE" w:rsidRDefault="005576CE" w:rsidP="004B3BA4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Rashodi za zaposlene iznose </w:t>
      </w:r>
      <w:r w:rsidRPr="005576CE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100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Pr="005576CE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939,75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eura, materijalni rashodi </w:t>
      </w:r>
      <w:r w:rsidRPr="005576CE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158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.</w:t>
      </w:r>
      <w:r w:rsidRPr="005576CE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604,36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eura, financijski rashodi </w:t>
      </w:r>
      <w:r w:rsidRPr="005576CE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254,31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eura.</w:t>
      </w:r>
    </w:p>
    <w:p w14:paraId="5E9086C3" w14:textId="77777777" w:rsidR="004B3BA4" w:rsidRDefault="004B3BA4" w:rsidP="00F5369A">
      <w:pP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53E1356E" w14:textId="77777777" w:rsidR="005576CE" w:rsidRDefault="004B3BA4" w:rsidP="005576CE">
      <w:pPr>
        <w:rPr>
          <w:color w:val="231F20"/>
        </w:rPr>
      </w:pPr>
      <w:r>
        <w:rPr>
          <w:rFonts w:asciiTheme="majorBidi" w:hAnsiTheme="majorBidi" w:cstheme="majorBidi"/>
          <w:noProof/>
          <w:color w:val="231F20"/>
          <w:sz w:val="24"/>
          <w:szCs w:val="24"/>
          <w:shd w:val="clear" w:color="auto" w:fill="FFFFFF"/>
        </w:rPr>
        <w:drawing>
          <wp:inline distT="0" distB="0" distL="0" distR="0" wp14:anchorId="137A8F0C" wp14:editId="13E6B370">
            <wp:extent cx="5800725" cy="4962525"/>
            <wp:effectExtent l="0" t="0" r="9525" b="9525"/>
            <wp:docPr id="884769659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F71F04" w14:textId="77777777" w:rsidR="005576CE" w:rsidRDefault="005576CE" w:rsidP="005576CE">
      <w:pPr>
        <w:rPr>
          <w:color w:val="231F20"/>
        </w:rPr>
      </w:pPr>
    </w:p>
    <w:p w14:paraId="6CBA0D16" w14:textId="3FF828E8" w:rsidR="005576CE" w:rsidRDefault="005576CE" w:rsidP="00826D33">
      <w:pPr>
        <w:jc w:val="both"/>
        <w:rPr>
          <w:rFonts w:asciiTheme="majorBidi" w:hAnsiTheme="majorBidi" w:cstheme="majorBidi"/>
          <w:color w:val="231F20"/>
          <w:sz w:val="24"/>
          <w:szCs w:val="24"/>
        </w:rPr>
      </w:pPr>
      <w:r w:rsidRPr="005576CE">
        <w:rPr>
          <w:rFonts w:asciiTheme="majorBidi" w:hAnsiTheme="majorBidi" w:cstheme="majorBidi"/>
          <w:color w:val="231F20"/>
          <w:sz w:val="24"/>
          <w:szCs w:val="24"/>
        </w:rPr>
        <w:t>U izvještajnom razdoblju Lučka uprava Osijek nema ostvarenih primitaka i izdataka.</w:t>
      </w:r>
    </w:p>
    <w:p w14:paraId="19BADB30" w14:textId="5DEB5293" w:rsidR="005576CE" w:rsidRDefault="005576CE" w:rsidP="00826D33">
      <w:pPr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U 2023. godinu izvršen je prijenos </w:t>
      </w:r>
      <w:r w:rsidR="00826D33">
        <w:rPr>
          <w:rFonts w:asciiTheme="majorBidi" w:hAnsiTheme="majorBidi" w:cstheme="majorBidi"/>
          <w:color w:val="231F20"/>
          <w:sz w:val="24"/>
          <w:szCs w:val="24"/>
        </w:rPr>
        <w:t>neutrošenih prihoda</w:t>
      </w:r>
      <w:r>
        <w:rPr>
          <w:rFonts w:asciiTheme="majorBidi" w:hAnsiTheme="majorBidi" w:cstheme="majorBidi"/>
          <w:color w:val="231F20"/>
          <w:sz w:val="24"/>
          <w:szCs w:val="24"/>
        </w:rPr>
        <w:t xml:space="preserve"> iz 2022. godine u ukupnom iznosu od </w:t>
      </w:r>
      <w:r w:rsidRPr="005576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205.150,62 eura, a čine ga </w:t>
      </w:r>
      <w:r w:rsidR="00826D3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neutrošeni </w:t>
      </w:r>
      <w:r w:rsidRPr="005576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prihodi od pruženih usluga u iznosu od 20.601,90 eura i prihodi od ostalih naknada i pristojbi za posebne namjene u iznosu od 184.5</w:t>
      </w:r>
      <w:r w:rsidR="00826D3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4</w:t>
      </w:r>
      <w:r w:rsidRPr="005576CE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8,72 eura.</w:t>
      </w:r>
    </w:p>
    <w:p w14:paraId="68132F65" w14:textId="2CFB0C31" w:rsidR="00826D33" w:rsidRPr="005576CE" w:rsidRDefault="00826D33" w:rsidP="00826D33">
      <w:pPr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hr-HR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Na kraju izvještajnog razdoblja neutrošeni prihodi za prijenos iznose </w:t>
      </w:r>
      <w:r w:rsidRPr="00826D3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218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.</w:t>
      </w:r>
      <w:r w:rsidRPr="00826D3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023,29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 xml:space="preserve"> eura.</w:t>
      </w:r>
    </w:p>
    <w:p w14:paraId="69916F32" w14:textId="18F46EFD" w:rsidR="005576CE" w:rsidRPr="005576CE" w:rsidRDefault="005576CE" w:rsidP="005576CE">
      <w:pPr>
        <w:rPr>
          <w:rFonts w:asciiTheme="majorBidi" w:hAnsiTheme="majorBidi" w:cstheme="majorBidi"/>
          <w:color w:val="231F20"/>
          <w:sz w:val="24"/>
          <w:szCs w:val="24"/>
        </w:rPr>
      </w:pPr>
    </w:p>
    <w:p w14:paraId="3A355F92" w14:textId="77777777" w:rsidR="00FD0202" w:rsidRDefault="00FD0202" w:rsidP="008073B3">
      <w:pPr>
        <w:rPr>
          <w:rFonts w:asciiTheme="majorBidi" w:hAnsiTheme="majorBidi" w:cstheme="majorBidi"/>
          <w:b/>
          <w:bCs/>
          <w:color w:val="231F20"/>
          <w:sz w:val="24"/>
          <w:szCs w:val="24"/>
          <w:shd w:val="clear" w:color="auto" w:fill="FFFFFF"/>
        </w:rPr>
      </w:pPr>
    </w:p>
    <w:p w14:paraId="081A3344" w14:textId="77777777" w:rsidR="00FD0202" w:rsidRDefault="00FD0202" w:rsidP="008073B3">
      <w:pPr>
        <w:rPr>
          <w:rFonts w:asciiTheme="majorBidi" w:hAnsiTheme="majorBidi" w:cstheme="majorBidi"/>
          <w:b/>
          <w:bCs/>
          <w:color w:val="231F20"/>
          <w:sz w:val="24"/>
          <w:szCs w:val="24"/>
          <w:shd w:val="clear" w:color="auto" w:fill="FFFFFF"/>
        </w:rPr>
      </w:pPr>
    </w:p>
    <w:p w14:paraId="1939381A" w14:textId="77777777" w:rsidR="00FD0202" w:rsidRDefault="00FD0202" w:rsidP="008073B3">
      <w:pPr>
        <w:rPr>
          <w:rFonts w:asciiTheme="majorBidi" w:hAnsiTheme="majorBidi" w:cstheme="majorBidi"/>
          <w:b/>
          <w:bCs/>
          <w:color w:val="231F20"/>
          <w:sz w:val="24"/>
          <w:szCs w:val="24"/>
          <w:shd w:val="clear" w:color="auto" w:fill="FFFFFF"/>
        </w:rPr>
      </w:pPr>
    </w:p>
    <w:p w14:paraId="68C96D67" w14:textId="702D699A" w:rsidR="00826D33" w:rsidRPr="00060B9E" w:rsidRDefault="00826D33" w:rsidP="00FD0202">
      <w:pPr>
        <w:jc w:val="both"/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</w:pPr>
      <w:r w:rsidRPr="00060B9E">
        <w:rPr>
          <w:rFonts w:asciiTheme="majorBidi" w:hAnsiTheme="majorBidi" w:cstheme="majorBidi"/>
          <w:b/>
          <w:bCs/>
          <w:color w:val="231F20"/>
          <w:sz w:val="28"/>
          <w:szCs w:val="28"/>
          <w:shd w:val="clear" w:color="auto" w:fill="FFFFFF"/>
        </w:rPr>
        <w:t>Posebni izvještaj u polugodišnjem izvještaju o izvršenju financijskog plana</w:t>
      </w:r>
    </w:p>
    <w:p w14:paraId="0C0E0621" w14:textId="37607177" w:rsidR="008073B3" w:rsidRPr="00FD0202" w:rsidRDefault="00826D33" w:rsidP="00FD0202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Posebni izvještaj u polugodišnjem izvještaju o izvršenju financijskog plana proračunskog i izvanproračunskog korisnika je izvještaj o zaduživanju na domaćem i stranom tržištu novca i kapitala</w:t>
      </w:r>
      <w:r w:rsidR="00FD020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i </w:t>
      </w:r>
      <w:r w:rsidR="00FD0202" w:rsidRPr="00FD020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izvještaj o danim jamstvima i plaćanjima po protestiranim jamstvima.</w:t>
      </w:r>
    </w:p>
    <w:p w14:paraId="725BAC5B" w14:textId="77777777" w:rsidR="00826D33" w:rsidRDefault="00826D33" w:rsidP="00FD0202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U izvještajnom razdoblju Lučka uprava Osijek nije zadužena na domaćem i stranom tržištu novca i kapitala. </w:t>
      </w:r>
    </w:p>
    <w:p w14:paraId="4CBF505E" w14:textId="77777777" w:rsidR="00FD0202" w:rsidRPr="00FD0202" w:rsidRDefault="00FD0202" w:rsidP="00FD0202">
      <w:pPr>
        <w:jc w:val="both"/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  <w:r w:rsidRPr="004F7C2C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U izvještajnom razdoblju Lučka uprava Osijek</w:t>
      </w:r>
      <w: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 xml:space="preserve"> nema danih jamstava niti plaćanja </w:t>
      </w:r>
      <w:r w:rsidRPr="00FD0202"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  <w:t>po protestiranim jamstvima.</w:t>
      </w:r>
    </w:p>
    <w:p w14:paraId="0397E770" w14:textId="627B0648" w:rsidR="00FD0202" w:rsidRDefault="00FD0202" w:rsidP="00826D33">
      <w:pP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4662EA46" w14:textId="77777777" w:rsidR="004F7C2C" w:rsidRPr="004F7C2C" w:rsidRDefault="004F7C2C" w:rsidP="00826D33">
      <w:pPr>
        <w:rPr>
          <w:rFonts w:asciiTheme="majorBidi" w:hAnsiTheme="majorBidi" w:cstheme="majorBidi"/>
          <w:color w:val="231F20"/>
          <w:sz w:val="24"/>
          <w:szCs w:val="24"/>
          <w:shd w:val="clear" w:color="auto" w:fill="FFFFFF"/>
        </w:rPr>
      </w:pPr>
    </w:p>
    <w:p w14:paraId="69D2933E" w14:textId="200D4501" w:rsidR="00826D33" w:rsidRPr="004F7C2C" w:rsidRDefault="004F7C2C" w:rsidP="008073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F7C2C">
        <w:rPr>
          <w:rFonts w:asciiTheme="majorBidi" w:hAnsiTheme="majorBidi" w:cstheme="majorBidi"/>
          <w:sz w:val="24"/>
          <w:szCs w:val="24"/>
        </w:rPr>
        <w:t>Ravnateljica</w:t>
      </w:r>
    </w:p>
    <w:p w14:paraId="56D71B77" w14:textId="02EBEA2F" w:rsidR="004F7C2C" w:rsidRPr="004F7C2C" w:rsidRDefault="004F7C2C" w:rsidP="008073B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</w:t>
      </w:r>
      <w:r w:rsidRPr="004F7C2C">
        <w:rPr>
          <w:rFonts w:asciiTheme="majorBidi" w:hAnsiTheme="majorBidi" w:cstheme="majorBidi"/>
          <w:sz w:val="24"/>
          <w:szCs w:val="24"/>
        </w:rPr>
        <w:t xml:space="preserve">r.sc. Iva Horvat, </w:t>
      </w:r>
      <w:proofErr w:type="spellStart"/>
      <w:r w:rsidRPr="004F7C2C">
        <w:rPr>
          <w:rFonts w:asciiTheme="majorBidi" w:hAnsiTheme="majorBidi" w:cstheme="majorBidi"/>
          <w:sz w:val="24"/>
          <w:szCs w:val="24"/>
        </w:rPr>
        <w:t>dipl.iur</w:t>
      </w:r>
      <w:proofErr w:type="spellEnd"/>
      <w:r w:rsidRPr="004F7C2C">
        <w:rPr>
          <w:rFonts w:asciiTheme="majorBidi" w:hAnsiTheme="majorBidi" w:cstheme="majorBidi"/>
          <w:sz w:val="24"/>
          <w:szCs w:val="24"/>
        </w:rPr>
        <w:t>.</w:t>
      </w:r>
    </w:p>
    <w:sectPr w:rsidR="004F7C2C" w:rsidRPr="004F7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3"/>
    <w:rsid w:val="00053BDE"/>
    <w:rsid w:val="00060B9E"/>
    <w:rsid w:val="00192AA4"/>
    <w:rsid w:val="004B3BA4"/>
    <w:rsid w:val="004F7C2C"/>
    <w:rsid w:val="005576CE"/>
    <w:rsid w:val="00663266"/>
    <w:rsid w:val="007763F9"/>
    <w:rsid w:val="008073B3"/>
    <w:rsid w:val="00826D33"/>
    <w:rsid w:val="00826E88"/>
    <w:rsid w:val="008D1B83"/>
    <w:rsid w:val="00991144"/>
    <w:rsid w:val="00A46149"/>
    <w:rsid w:val="00AA593D"/>
    <w:rsid w:val="00BA0595"/>
    <w:rsid w:val="00C073D2"/>
    <w:rsid w:val="00EE6D9C"/>
    <w:rsid w:val="00F5369A"/>
    <w:rsid w:val="00FC5AB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802F"/>
  <w15:chartTrackingRefBased/>
  <w15:docId w15:val="{A55926F7-0A10-450B-BE64-EE177C3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4667">
    <w:name w:val="box_474667"/>
    <w:basedOn w:val="Normal"/>
    <w:rsid w:val="0066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Prihodi</a:t>
            </a:r>
            <a:endParaRPr lang="en-US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Prodaja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46-46E1-923D-09B98954BB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46-46E1-923D-09B98954BBC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46-46E1-923D-09B98954BBC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46-46E1-923D-09B98954BBC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E46-46E1-923D-09B98954BBC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E46-46E1-923D-09B98954BBC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E46-46E1-923D-09B98954BBC4}"/>
              </c:ext>
            </c:extLst>
          </c:dPt>
          <c:cat>
            <c:strRef>
              <c:f>List1!$A$2:$A$8</c:f>
              <c:strCache>
                <c:ptCount val="7"/>
                <c:pt idx="0">
                  <c:v>Tekuće pomoći od institucija i tijela  EU</c:v>
                </c:pt>
                <c:pt idx="1">
                  <c:v>Kapitalne pomoći od institucija i tijela  EU</c:v>
                </c:pt>
                <c:pt idx="2">
                  <c:v>Naknade za koncesije</c:v>
                </c:pt>
                <c:pt idx="3">
                  <c:v>Ostale pristojbe i naknade</c:v>
                </c:pt>
                <c:pt idx="4">
                  <c:v>Prihodi od pruženih usluga</c:v>
                </c:pt>
                <c:pt idx="5">
                  <c:v>Prihodi iz nadležnog proračuna za financiranje rashoda poslovanja</c:v>
                </c:pt>
                <c:pt idx="6">
                  <c:v>Prihodi iz nadležnog proračuna za financiranje rashoda za nabava nefinancijske imovine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48079.76</c:v>
                </c:pt>
                <c:pt idx="1">
                  <c:v>939518.28</c:v>
                </c:pt>
                <c:pt idx="2">
                  <c:v>18290.3</c:v>
                </c:pt>
                <c:pt idx="3">
                  <c:v>29521.82</c:v>
                </c:pt>
                <c:pt idx="4">
                  <c:v>7994.88</c:v>
                </c:pt>
                <c:pt idx="5">
                  <c:v>172047.71</c:v>
                </c:pt>
                <c:pt idx="6">
                  <c:v>575750.41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F2-463A-A191-107C8DCE4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hr-HR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R</a:t>
            </a:r>
            <a:r>
              <a:rPr lang="en-US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ashodi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0.16676536122639843"/>
          <c:y val="9.4920025591810619E-2"/>
          <c:w val="0.64676467165742213"/>
          <c:h val="0.75600707301222669"/>
        </c:manualLayout>
      </c:layout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Ukupni rashodi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B1F-4869-BB78-E3CDF2F389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B1F-4869-BB78-E3CDF2F3895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B1F-4869-BB78-E3CDF2F3895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B1F-4869-BB78-E3CDF2F3895F}"/>
              </c:ext>
            </c:extLst>
          </c:dPt>
          <c:cat>
            <c:strRef>
              <c:f>List1!$A$2:$A$5</c:f>
              <c:strCache>
                <c:ptCount val="4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Rashodi za nabavu proizvedene dugotrajne imovine</c:v>
                </c:pt>
              </c:strCache>
            </c:strRef>
          </c:cat>
          <c:val>
            <c:numRef>
              <c:f>List1!$B$2:$B$5</c:f>
              <c:numCache>
                <c:formatCode>#,##0.00</c:formatCode>
                <c:ptCount val="4"/>
                <c:pt idx="0" formatCode="General">
                  <c:v>100939.75</c:v>
                </c:pt>
                <c:pt idx="1">
                  <c:v>158604.35999999999</c:v>
                </c:pt>
                <c:pt idx="2">
                  <c:v>254.31</c:v>
                </c:pt>
                <c:pt idx="3">
                  <c:v>1518532.07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00-4322-908B-193080B9C9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Lučka Uprava</dc:creator>
  <cp:keywords/>
  <dc:description/>
  <cp:lastModifiedBy>Lučka Uprava</cp:lastModifiedBy>
  <cp:revision>6</cp:revision>
  <cp:lastPrinted>2023-08-08T12:35:00Z</cp:lastPrinted>
  <dcterms:created xsi:type="dcterms:W3CDTF">2023-08-08T09:26:00Z</dcterms:created>
  <dcterms:modified xsi:type="dcterms:W3CDTF">2023-08-18T05:52:00Z</dcterms:modified>
</cp:coreProperties>
</file>